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08"/>
        <w:ind w:firstLine="700"/>
        <w:jc w:val="center"/>
        <w:spacing w:before="240" w:beforeAutospacing="0" w:after="24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Государственное бюджетное общеобразовательное учреждение города Москвы «Школа № 508»</w:t>
      </w:r>
      <w:r/>
    </w:p>
    <w:p>
      <w:pPr>
        <w:pStyle w:val="608"/>
        <w:ind w:firstLine="700"/>
        <w:jc w:val="center"/>
        <w:spacing w:before="240" w:beforeAutospacing="0" w:after="24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pStyle w:val="608"/>
        <w:ind w:firstLine="700"/>
        <w:jc w:val="center"/>
        <w:spacing w:before="240" w:beforeAutospacing="0" w:after="24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pStyle w:val="608"/>
        <w:ind w:firstLine="700"/>
        <w:jc w:val="center"/>
        <w:spacing w:before="240" w:beforeAutospacing="0" w:after="24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pStyle w:val="608"/>
        <w:ind w:firstLine="700"/>
        <w:jc w:val="center"/>
        <w:spacing w:before="240" w:beforeAutospacing="0" w:after="24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pStyle w:val="608"/>
        <w:ind w:firstLine="700"/>
        <w:jc w:val="center"/>
        <w:spacing w:before="240" w:beforeAutospacing="0" w:after="24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pStyle w:val="608"/>
        <w:ind w:firstLine="700"/>
        <w:jc w:val="center"/>
        <w:spacing w:before="240" w:beforeAutospacing="0" w:after="24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pStyle w:val="608"/>
        <w:ind w:firstLine="700"/>
        <w:jc w:val="center"/>
        <w:spacing w:before="240" w:beforeAutospacing="0" w:after="240" w:afterAutospacing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Проектная деятельность</w:t>
      </w:r>
      <w:r>
        <w:rPr>
          <w:b/>
          <w:bCs/>
          <w:sz w:val="32"/>
          <w:szCs w:val="32"/>
        </w:rPr>
        <w:t xml:space="preserve"> обучающихся НПК на основе социокультурного пространства </w:t>
      </w:r>
      <w:r>
        <w:rPr>
          <w:b/>
          <w:bCs/>
          <w:sz w:val="32"/>
          <w:szCs w:val="32"/>
        </w:rPr>
        <w:t xml:space="preserve">города  Москвы</w:t>
      </w:r>
      <w:r/>
    </w:p>
    <w:p>
      <w:pPr>
        <w:pStyle w:val="608"/>
        <w:ind w:firstLine="700"/>
        <w:jc w:val="center"/>
        <w:spacing w:before="240" w:beforeAutospacing="0" w:after="240" w:afterAutospacing="0"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608"/>
        <w:ind w:firstLine="700"/>
        <w:jc w:val="right"/>
        <w:spacing w:before="240" w:beforeAutospacing="0" w:after="24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pStyle w:val="608"/>
        <w:ind w:firstLine="700"/>
        <w:jc w:val="right"/>
        <w:spacing w:before="240" w:beforeAutospacing="0" w:after="24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Автор:</w:t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Иванова </w:t>
      </w:r>
      <w:r>
        <w:rPr>
          <w:sz w:val="28"/>
          <w:szCs w:val="28"/>
        </w:rPr>
        <w:t xml:space="preserve">Лариса Николаевна</w:t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Иванова Ксения Алексеевна</w:t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учитель</w:t>
      </w:r>
      <w:r>
        <w:rPr>
          <w:sz w:val="28"/>
          <w:szCs w:val="28"/>
        </w:rPr>
        <w:t xml:space="preserve"> истории</w:t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ГБОУ Школа № 508</w:t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08"/>
        <w:ind w:firstLine="700"/>
        <w:jc w:val="righ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08"/>
        <w:jc w:val="center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г. Москва</w:t>
      </w:r>
      <w:r/>
    </w:p>
    <w:p>
      <w:pPr>
        <w:pStyle w:val="608"/>
        <w:jc w:val="center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202</w:t>
      </w:r>
      <w:r>
        <w:rPr>
          <w:sz w:val="28"/>
          <w:szCs w:val="28"/>
        </w:rPr>
        <w:t xml:space="preserve">3</w:t>
      </w:r>
      <w:bookmarkStart w:id="0" w:name="_GoBack"/>
      <w:r/>
      <w:bookmarkEnd w:id="0"/>
      <w:r>
        <w:rPr>
          <w:sz w:val="28"/>
          <w:szCs w:val="28"/>
        </w:rPr>
        <w:t xml:space="preserve"> г.</w:t>
      </w:r>
      <w:r/>
    </w:p>
    <w:p>
      <w:pPr>
        <w:pStyle w:val="608"/>
        <w:jc w:val="center"/>
        <w:spacing w:before="240" w:beforeAutospacing="0" w:after="24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Описание основных результатов практики.</w:t>
      </w:r>
      <w:r/>
    </w:p>
    <w:p>
      <w:pPr>
        <w:pStyle w:val="608"/>
        <w:ind w:firstLine="700"/>
        <w:jc w:val="both"/>
        <w:spacing w:before="240" w:beforeAutospacing="0" w:after="240" w:afterAutospacing="0" w:line="360" w:lineRule="auto"/>
      </w:pPr>
      <w:r>
        <w:rPr>
          <w:b/>
          <w:bCs/>
          <w:sz w:val="28"/>
          <w:szCs w:val="28"/>
        </w:rPr>
        <w:t xml:space="preserve">Цель</w:t>
      </w:r>
      <w:r>
        <w:rPr>
          <w:b/>
          <w:bCs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 xml:space="preserve">создани</w:t>
      </w:r>
      <w:r>
        <w:rPr>
          <w:color w:val="000000"/>
          <w:sz w:val="28"/>
          <w:szCs w:val="28"/>
        </w:rPr>
        <w:t xml:space="preserve">е</w:t>
      </w:r>
      <w:r>
        <w:rPr>
          <w:color w:val="000000"/>
          <w:sz w:val="28"/>
          <w:szCs w:val="28"/>
        </w:rPr>
        <w:t xml:space="preserve"> условий для реализации социальной практики обучающихся предпрофессиональных классов («Новый педагогический класс в московской школе») на основе социокультурного пространства города Москвы.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</w:t>
      </w:r>
      <w:r/>
    </w:p>
    <w:p>
      <w:pPr>
        <w:pStyle w:val="609"/>
        <w:numPr>
          <w:ilvl w:val="0"/>
          <w:numId w:val="1"/>
        </w:numPr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проектной деятельности обучающихся «Нового педагогического класса в Московской школе» посредством освоения социального пространства города Москвы.</w:t>
      </w:r>
      <w:r/>
    </w:p>
    <w:p>
      <w:pPr>
        <w:pStyle w:val="609"/>
        <w:numPr>
          <w:ilvl w:val="0"/>
          <w:numId w:val="1"/>
        </w:numPr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возможности первых профессиональных проб обучающихся предпрофессионального класса с использованием социокультурного пространства столицы. </w:t>
      </w:r>
      <w:r/>
    </w:p>
    <w:p>
      <w:pPr>
        <w:pStyle w:val="609"/>
        <w:numPr>
          <w:ilvl w:val="0"/>
          <w:numId w:val="1"/>
        </w:numPr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воспитательных мероприятий на уровне основного общего образования.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Этапы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</w:t>
      </w:r>
      <w:r/>
    </w:p>
    <w:p>
      <w:pPr>
        <w:pStyle w:val="608"/>
        <w:ind w:firstLine="700"/>
        <w:jc w:val="both"/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 xml:space="preserve">Проектный замысел заключается в создании условий для обучающихся предпрофессиональных классов в рамках освоения социокультурного пространства </w:t>
      </w:r>
      <w:r>
        <w:rPr>
          <w:color w:val="000000"/>
          <w:sz w:val="28"/>
          <w:szCs w:val="28"/>
        </w:rPr>
        <w:t xml:space="preserve">Москвы  при</w:t>
      </w:r>
      <w:r>
        <w:rPr>
          <w:color w:val="000000"/>
          <w:sz w:val="28"/>
          <w:szCs w:val="28"/>
        </w:rPr>
        <w:t xml:space="preserve"> использовании методических рекомендаций.</w:t>
      </w:r>
      <w:r/>
    </w:p>
    <w:p>
      <w:pPr>
        <w:pStyle w:val="608"/>
        <w:ind w:firstLine="700"/>
        <w:jc w:val="both"/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 xml:space="preserve">Реализация проекта состоит из трех этапов:</w:t>
      </w:r>
      <w:r/>
    </w:p>
    <w:p>
      <w:pPr>
        <w:pStyle w:val="608"/>
        <w:ind w:firstLine="700"/>
        <w:jc w:val="both"/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 xml:space="preserve">1 этап - подготовительный. Он направлен на анкетирование обучающихся младших классов, выявление образовательных потребностей школьников. На основе анкетирования происходит отбор объектов </w:t>
      </w:r>
      <w:r>
        <w:rPr>
          <w:color w:val="000000"/>
          <w:sz w:val="28"/>
          <w:szCs w:val="28"/>
        </w:rPr>
        <w:t xml:space="preserve">социо-культурного</w:t>
      </w:r>
      <w:r>
        <w:rPr>
          <w:color w:val="000000"/>
          <w:sz w:val="28"/>
          <w:szCs w:val="28"/>
        </w:rPr>
        <w:t xml:space="preserve"> пространства Москвы с целью моделирования очных и дистанционных экскурсионных занятий с использованием учебно-методических пособий (рабочих тетрадей). На этом этапе старшеклассники разрабатывают занятия, работают </w:t>
      </w:r>
      <w:r>
        <w:rPr>
          <w:color w:val="000000"/>
          <w:sz w:val="28"/>
          <w:szCs w:val="28"/>
        </w:rPr>
        <w:t xml:space="preserve">над  составлением</w:t>
      </w:r>
      <w:r>
        <w:rPr>
          <w:color w:val="000000"/>
          <w:sz w:val="28"/>
          <w:szCs w:val="28"/>
        </w:rPr>
        <w:t xml:space="preserve"> тетрадей. При составлении экскурсий обучающиеся учитывают возрастные особенности </w:t>
      </w:r>
      <w:r>
        <w:rPr>
          <w:color w:val="000000"/>
          <w:sz w:val="28"/>
          <w:szCs w:val="28"/>
        </w:rPr>
        <w:t xml:space="preserve">школьников,</w:t>
      </w:r>
      <w:r>
        <w:rPr>
          <w:color w:val="000000"/>
          <w:sz w:val="28"/>
          <w:szCs w:val="28"/>
        </w:rPr>
        <w:t xml:space="preserve"> выстраивают задания для обучающихся с разным уровнем </w:t>
      </w:r>
      <w:r>
        <w:rPr>
          <w:color w:val="000000"/>
          <w:sz w:val="28"/>
          <w:szCs w:val="28"/>
        </w:rPr>
        <w:t xml:space="preserve">мотивации. Учителя являются координаторами и методическими консультантами.</w:t>
      </w:r>
      <w:r/>
    </w:p>
    <w:p>
      <w:pPr>
        <w:pStyle w:val="608"/>
        <w:ind w:firstLine="700"/>
        <w:jc w:val="both"/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 xml:space="preserve">2 этап - основной. На основном эта</w:t>
      </w:r>
      <w:r>
        <w:rPr>
          <w:color w:val="000000"/>
          <w:sz w:val="28"/>
          <w:szCs w:val="28"/>
        </w:rPr>
        <w:t xml:space="preserve">пе реализации проекта обучающиеся предпрофессионального класса проводят экскурсии со школьниками, исходя из образовательных потребностей, выявленных для каждого класса и в соответствии с планом воспитательной работы во внеурочное время и в период каникул. </w:t>
      </w:r>
      <w:r/>
    </w:p>
    <w:p>
      <w:pPr>
        <w:pStyle w:val="608"/>
        <w:ind w:firstLine="700"/>
        <w:jc w:val="both"/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 xml:space="preserve">3 этап - рефлексия. На данном этапе проводится анализ </w:t>
      </w:r>
      <w:r>
        <w:rPr>
          <w:color w:val="000000"/>
          <w:sz w:val="28"/>
          <w:szCs w:val="28"/>
        </w:rPr>
        <w:t xml:space="preserve">и  самоанализ</w:t>
      </w:r>
      <w:r>
        <w:rPr>
          <w:color w:val="000000"/>
          <w:sz w:val="28"/>
          <w:szCs w:val="28"/>
        </w:rPr>
        <w:t xml:space="preserve"> проведенных учебных занятий. Происходит корректировка методических разработок занятий и рабочих тетрадей.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Методы реализации практики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методом реализации практики является баскет</w:t>
      </w:r>
      <w:r>
        <w:rPr>
          <w:rFonts w:ascii="Times New Roman" w:hAnsi="Times New Roman" w:cs="Times New Roman"/>
          <w:sz w:val="28"/>
          <w:szCs w:val="28"/>
        </w:rPr>
        <w:t xml:space="preserve">-ситуации. </w:t>
      </w: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аскет – метод – метод обучения на основе имитации ситуаций. Например, обуча</w:t>
      </w:r>
      <w:r>
        <w:rPr>
          <w:rFonts w:ascii="Times New Roman" w:hAnsi="Times New Roman" w:cs="Times New Roman"/>
          <w:sz w:val="28"/>
          <w:szCs w:val="28"/>
        </w:rPr>
        <w:t xml:space="preserve">ющемуся</w:t>
      </w:r>
      <w:r>
        <w:rPr>
          <w:rFonts w:ascii="Times New Roman" w:hAnsi="Times New Roman" w:cs="Times New Roman"/>
          <w:sz w:val="28"/>
          <w:szCs w:val="28"/>
        </w:rPr>
        <w:t xml:space="preserve"> пред</w:t>
      </w:r>
      <w:r>
        <w:rPr>
          <w:rFonts w:ascii="Times New Roman" w:hAnsi="Times New Roman" w:cs="Times New Roman"/>
          <w:sz w:val="28"/>
          <w:szCs w:val="28"/>
        </w:rPr>
        <w:t xml:space="preserve">лагают </w:t>
      </w:r>
      <w:r>
        <w:rPr>
          <w:rFonts w:ascii="Times New Roman" w:hAnsi="Times New Roman" w:cs="Times New Roman"/>
          <w:sz w:val="28"/>
          <w:szCs w:val="28"/>
        </w:rPr>
        <w:t xml:space="preserve">выступить в роли экскурсовода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целом вся деятельность обучающихся предпрофессиональных классов опирается на данном методе – школьники реализуют первые профессиональные пробы: экскурсовод, учитель, методист.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контекст работы с данным методом также используется методы проблемного обучения, такие как частично-поисковый метод в процессе</w:t>
      </w:r>
      <w:r>
        <w:rPr>
          <w:rFonts w:ascii="Times New Roman" w:hAnsi="Times New Roman" w:cs="Times New Roman"/>
          <w:sz w:val="28"/>
          <w:szCs w:val="28"/>
        </w:rPr>
        <w:t xml:space="preserve"> моделирования текстов экскурсий, рабочих тетрадей, интерактивных проверочных заданий.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Полученные результаты</w:t>
      </w:r>
      <w:r/>
    </w:p>
    <w:p>
      <w:pPr>
        <w:ind w:firstLine="700"/>
        <w:jc w:val="both"/>
        <w:spacing w:after="0" w:line="360" w:lineRule="auto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На данном этапе реализации проекты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уже  разработаны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методические материалы по следующим направлениям: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Д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етям о малой Родине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Д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етям о войне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Д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етям о музее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»,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Д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етям о театре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</w:t>
      </w:r>
      <w:r/>
    </w:p>
    <w:p>
      <w:pPr>
        <w:ind w:firstLine="700"/>
        <w:jc w:val="both"/>
        <w:spacing w:after="0" w:line="360" w:lineRule="auto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Детям о малой Родине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»</w:t>
      </w:r>
      <w:r/>
    </w:p>
    <w:p>
      <w:pPr>
        <w:ind w:firstLine="700"/>
        <w:jc w:val="both"/>
        <w:spacing w:after="0" w:line="360" w:lineRule="auto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В рамках реализации данного направления обучающимися педагогического класса были созданы маршрут дистанционной и очной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экскурсии  на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основе рабочей тетради. </w:t>
      </w:r>
      <w:r/>
    </w:p>
    <w:p>
      <w:pPr>
        <w:ind w:firstLine="700"/>
        <w:jc w:val="both"/>
        <w:spacing w:after="0" w:line="360" w:lineRule="auto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Первая часть пособия содержит материалы для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проведения очной экскурсии. На каждый храм в тетради отведено две страницы: первая – информационная, где указано название объекта, адрес, дана краткая историческая справка; вторая – познавательная, где представлены вопросы об истории и архитектуре объекта.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Вторая часть тетради для дистанционного маршрута. Цикл включает в себя пять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видеоэкскурсий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Школьник  прослушивает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краткую информацию о памятнике, а затем переходит по ссылке для выполнения задания на сервисе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val="en-US" w:eastAsia="ru-RU"/>
        </w:rPr>
        <w:t xml:space="preserve"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earningApp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 </w:t>
      </w:r>
      <w:r/>
    </w:p>
    <w:p>
      <w:pPr>
        <w:ind w:firstLine="700"/>
        <w:jc w:val="both"/>
        <w:spacing w:after="0" w:line="360" w:lineRule="auto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Детям о войне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»</w:t>
      </w:r>
      <w:r/>
    </w:p>
    <w:p>
      <w:pPr>
        <w:ind w:firstLine="700"/>
        <w:jc w:val="both"/>
        <w:spacing w:after="0" w:line="360" w:lineRule="auto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Обучающиеся предпрофессионального класса разработали маршрут и учебное пособие об истории Бирюлево Восточное в годы Великой Отечественной войны 1941-1945 гг. для школьников образовательных организаций Москвы. </w:t>
      </w:r>
      <w:r/>
    </w:p>
    <w:p>
      <w:pPr>
        <w:ind w:firstLine="700"/>
        <w:jc w:val="both"/>
        <w:spacing w:after="0" w:line="360" w:lineRule="auto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Рабочая тетрадь состоит из двух основных разделов.</w:t>
      </w:r>
      <w:r/>
    </w:p>
    <w:p>
      <w:pPr>
        <w:jc w:val="both"/>
        <w:spacing w:after="0" w:line="360" w:lineRule="auto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Первый раздел – это маршрут «Патриотическая тропа». В нем представлена последовательность посещения объектов, указан хронометраж посещения экскурсии, на карте нанесены данные о расположении объектов. </w:t>
      </w:r>
      <w:r/>
    </w:p>
    <w:p>
      <w:pPr>
        <w:jc w:val="both"/>
        <w:spacing w:after="0" w:line="360" w:lineRule="auto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Второй раздел – это задания по маршруту экскурсии, она включает в себя 6 остановок. Каждому объекту посвящена отдельная страница, которая содержит: визуальное и информационное пространство, задания.</w:t>
      </w:r>
      <w:r/>
    </w:p>
    <w:p>
      <w:pPr>
        <w:ind w:firstLine="700"/>
        <w:jc w:val="both"/>
        <w:spacing w:after="0" w:line="360" w:lineRule="auto"/>
        <w:rPr>
          <w:rFonts w:ascii="Times New Roman" w:hAnsi="Times New Roman" w:cs="Times New Roman" w:eastAsia="Times New Roman"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Аналогичным образом была выстроена работы по направлениям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Детям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о  театрах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Детям о музеях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 В качестве социокультурных объектов были отобраны Большой театр, Измайловский кремль. </w:t>
      </w:r>
      <w:r/>
    </w:p>
    <w:p>
      <w:pPr>
        <w:ind w:firstLine="700"/>
        <w:jc w:val="both"/>
        <w:spacing w:after="0" w:line="360" w:lineRule="auto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cs="Times New Roman" w:eastAsia="Times New Roman"/>
          <w:color w:val="000000"/>
          <w:sz w:val="28"/>
          <w:szCs w:val="28"/>
          <w:highlight w:val="none"/>
          <w:lang w:eastAsia="ru-RU"/>
        </w:rPr>
      </w:r>
    </w:p>
    <w:p>
      <w:pPr>
        <w:pStyle w:val="609"/>
        <w:numPr>
          <w:ilvl w:val="0"/>
          <w:numId w:val="1"/>
        </w:numPr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материалы (примеры кейсов, рабочих листов).</w:t>
      </w:r>
      <w:r/>
    </w:p>
    <w:p>
      <w:pPr>
        <w:ind w:left="0" w:right="0" w:firstLine="709"/>
        <w:jc w:val="both"/>
        <w:spacing w:after="0" w:line="360" w:lineRule="auto"/>
        <w:rPr>
          <w:rFonts w:ascii="Times New Roman" w:hAnsi="Times New Roman" w:cs="Times New Roman"/>
          <w:b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sz w:val="28"/>
          <w:szCs w:val="28"/>
          <w:highlight w:val="none"/>
        </w:rPr>
        <w:t xml:space="preserve">Далее мы приводим образец рабочих листов в рамках организации урока индивидуальный проект с целью разработки обучающимися рабочих материалов.  </w:t>
      </w:r>
      <w:r/>
    </w:p>
    <w:p>
      <w:pPr>
        <w:ind w:left="0" w:right="0" w:firstLine="709"/>
        <w:jc w:val="both"/>
        <w:spacing w:after="0" w:line="360" w:lineRule="auto"/>
        <w:rPr>
          <w:rFonts w:ascii="Times New Roman" w:hAnsi="Times New Roman" w:cs="Times New Roman"/>
          <w:b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sz w:val="28"/>
          <w:szCs w:val="28"/>
          <w:highlight w:val="none"/>
        </w:rPr>
        <w:t xml:space="preserve">На рисунках 1, 2 представлено модель рабочего листа для обучающихся, который состоит из двух смысловых фрагментов. Первый – это образец отбора социокультурных объектов. На втором выстроена работа по моделированию листа рабочей тетради, где перед обучающимися ставится конкретная методическая задача.</w:t>
      </w:r>
      <w:r>
        <w:rPr>
          <w:rFonts w:ascii="Times New Roman" w:hAnsi="Times New Roman" w:cs="Times New Roman"/>
          <w:b w:val="0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line="360" w:lineRule="auto"/>
        <w:rPr>
          <w:szCs w:val="28"/>
          <w:highlight w:val="none"/>
        </w:rPr>
      </w:pPr>
      <w:r>
        <w:rPr>
          <w:rFonts w:ascii="Times New Roman" w:hAnsi="Times New Roman" w:cs="Times New Roman"/>
          <w:b w:val="0"/>
          <w:sz w:val="28"/>
          <w:szCs w:val="28"/>
          <w:highlight w:val="none"/>
        </w:rPr>
        <w:t xml:space="preserve">На рисунке 3 представлен чек-лист выступления группы, таким образом обучающиеся получает навык разработки публичной защиты. Такой чек-лист целесообразно использовать в первые месяцы работы, так как впоследствии алгоритм выступления у обучающихся будет уже сформирован.</w:t>
      </w:r>
      <w:r/>
      <w:r>
        <w:rPr>
          <w:rFonts w:ascii="Times New Roman" w:hAnsi="Times New Roman" w:cs="Times New Roman"/>
          <w:b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sz w:val="28"/>
          <w:szCs w:val="28"/>
          <w:highlight w:val="none"/>
        </w:rPr>
      </w:r>
    </w:p>
    <w:p>
      <w:pPr>
        <w:ind w:left="0" w:right="0" w:firstLine="709"/>
        <w:jc w:val="center"/>
        <w:spacing w:after="0" w:line="360" w:lineRule="auto"/>
        <w:rPr>
          <w:szCs w:val="28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95665" cy="5335864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828746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3995664" cy="53358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14.6pt;height:420.1pt;" stroked="false">
                <v:path textboxrect="0,0,0,0"/>
                <v:imagedata r:id="rId10" o:title=""/>
              </v:shape>
            </w:pict>
          </mc:Fallback>
        </mc:AlternateContent>
      </w:r>
      <w:r/>
      <w:r>
        <w:rPr>
          <w:highlight w:val="none"/>
        </w:rPr>
        <w:t xml:space="preserve"> </w:t>
      </w:r>
      <w:r/>
    </w:p>
    <w:p>
      <w:pPr>
        <w:ind w:left="0" w:right="0" w:firstLine="709"/>
        <w:jc w:val="center"/>
        <w:spacing w:after="0" w:line="360" w:lineRule="auto"/>
        <w:rPr>
          <w:rFonts w:ascii="Tinos" w:hAnsi="Tinos" w:cs="Tinos" w:eastAsia="Tinos"/>
          <w:b w:val="0"/>
          <w:sz w:val="28"/>
          <w:szCs w:val="28"/>
          <w:highlight w:val="none"/>
        </w:rPr>
      </w:pPr>
      <w:r>
        <w:rPr>
          <w:rFonts w:ascii="Tinos" w:hAnsi="Tinos" w:cs="Tinos" w:eastAsia="Tinos"/>
          <w:sz w:val="28"/>
          <w:highlight w:val="none"/>
        </w:rPr>
        <w:t xml:space="preserve">Рисунок 1. Рабочий лист.</w:t>
      </w:r>
      <w:r>
        <w:rPr>
          <w:rFonts w:ascii="Tinos" w:hAnsi="Tinos" w:cs="Tinos" w:eastAsia="Tinos"/>
          <w:sz w:val="28"/>
          <w:highlight w:val="none"/>
        </w:rPr>
      </w:r>
    </w:p>
    <w:p>
      <w:pPr>
        <w:ind w:left="0" w:right="0" w:firstLine="0"/>
        <w:jc w:val="center"/>
        <w:spacing w:after="0" w:line="360" w:lineRule="auto"/>
        <w:rPr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t xml:space="preserve">\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11157" cy="7287810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89748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411156" cy="7287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26.1pt;height:573.8pt;" stroked="false">
                <v:path textboxrect="0,0,0,0"/>
                <v:imagedata r:id="rId11" o:title=""/>
              </v:shape>
            </w:pict>
          </mc:Fallback>
        </mc:AlternateContent>
      </w:r>
      <w:r>
        <w:t xml:space="preserve"> </w:t>
      </w:r>
      <w:r>
        <w:t xml:space="preserve"> </w:t>
      </w:r>
      <w:r/>
    </w:p>
    <w:p>
      <w:pPr>
        <w:ind w:left="0" w:right="0" w:firstLine="709"/>
        <w:jc w:val="center"/>
        <w:spacing w:after="0" w:line="360" w:lineRule="auto"/>
        <w:rPr>
          <w:rFonts w:ascii="Tinos" w:hAnsi="Tinos" w:cs="Tinos" w:eastAsia="Tinos"/>
          <w:b w:val="0"/>
          <w:sz w:val="28"/>
          <w:szCs w:val="28"/>
          <w:highlight w:val="none"/>
        </w:rPr>
      </w:pPr>
      <w:r/>
      <w:r>
        <w:rPr>
          <w:rFonts w:ascii="Tinos" w:hAnsi="Tinos" w:cs="Tinos" w:eastAsia="Tinos"/>
          <w:sz w:val="28"/>
          <w:highlight w:val="none"/>
        </w:rPr>
        <w:t xml:space="preserve">Рисунок 2. Рабочий лист.</w:t>
      </w:r>
      <w:r>
        <w:rPr>
          <w:rFonts w:ascii="Tinos" w:hAnsi="Tinos" w:cs="Tinos" w:eastAsia="Tinos"/>
          <w:b w:val="0"/>
          <w:sz w:val="28"/>
          <w:szCs w:val="28"/>
          <w:highlight w:val="none"/>
        </w:rPr>
      </w:r>
      <w:r/>
    </w:p>
    <w:p>
      <w:pPr>
        <w:ind w:left="0" w:right="0" w:firstLine="709"/>
        <w:jc w:val="center"/>
        <w:spacing w:after="0" w:line="360" w:lineRule="auto"/>
        <w:rPr>
          <w:rFonts w:ascii="Tinos" w:hAnsi="Tinos" w:cs="Tinos" w:eastAsia="Tinos"/>
          <w:b w:val="0"/>
          <w:sz w:val="28"/>
          <w:szCs w:val="28"/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4797" cy="8270712"/>
                <wp:effectExtent l="0" t="0" r="0" b="0"/>
                <wp:docPr id="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45964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754796" cy="8270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53.1pt;height:651.2pt;" stroked="false">
                <v:path textboxrect="0,0,0,0"/>
                <v:imagedata r:id="rId12" o:title=""/>
              </v:shape>
            </w:pict>
          </mc:Fallback>
        </mc:AlternateContent>
      </w:r>
      <w:r>
        <w:t xml:space="preserve"> </w:t>
      </w:r>
      <w:r>
        <w:rPr>
          <w:rFonts w:ascii="Tinos" w:hAnsi="Tinos" w:cs="Tinos" w:eastAsia="Tinos"/>
          <w:sz w:val="28"/>
          <w:highlight w:val="none"/>
        </w:rPr>
        <w:t xml:space="preserve">Рисунок 3. Чек-лист.</w:t>
      </w:r>
      <w:r/>
    </w:p>
    <w:p>
      <w:pPr>
        <w:ind w:left="0" w:right="0" w:firstLine="0"/>
        <w:jc w:val="center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/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</w:p>
    <w:p>
      <w:pPr>
        <w:pStyle w:val="609"/>
        <w:numPr>
          <w:ilvl w:val="0"/>
          <w:numId w:val="1"/>
        </w:numPr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Полученные результаты.</w:t>
      </w:r>
      <w:r/>
    </w:p>
    <w:p>
      <w:pPr>
        <w:pStyle w:val="15"/>
        <w:ind w:left="0" w:right="0" w:firstLine="709"/>
        <w:jc w:val="both"/>
        <w:spacing w:before="300" w:after="150" w:line="360" w:lineRule="auto"/>
        <w:shd w:val="clear" w:color="ffffff" w:fill="ffffff"/>
        <w:rPr>
          <w:rFonts w:ascii="Times New Roman" w:hAnsi="Times New Roman" w:cs="Times New Roman" w:eastAsia="Times New Roman"/>
          <w:b w:val="0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 w:val="0"/>
          <w:sz w:val="28"/>
          <w:szCs w:val="28"/>
          <w:highlight w:val="none"/>
        </w:rPr>
        <w:t xml:space="preserve">Эффективность практики подтверждается результативным участием обучающихся на 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8"/>
        </w:rPr>
        <w:t xml:space="preserve">Конференции «Наука для жизни»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8"/>
        </w:rPr>
        <w:t xml:space="preserve"> по 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8"/>
        </w:rPr>
        <w:t xml:space="preserve">направлению «Мегаполис как пространство успеха и социальной ответственности», метапредметной олимпиаде «Не прервется связь поколений», «История и культура храмов столицы и России».</w:t>
      </w:r>
      <w:r/>
      <w:r/>
    </w:p>
    <w:p>
      <w:pPr>
        <w:pStyle w:val="609"/>
        <w:numPr>
          <w:ilvl w:val="0"/>
          <w:numId w:val="1"/>
        </w:numPr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Практическое значение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проекта можно рассматривать в трех направлениях: для обучающихся, посещающих экскурсии; для обучающихся проводивших экскурсии; для педагогических работников, реализующих проект.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Обучающиеся,  посетившие</w:t>
      </w:r>
      <w:r>
        <w:rPr>
          <w:rFonts w:ascii="Times New Roman" w:hAnsi="Times New Roman" w:cs="Times New Roman"/>
          <w:sz w:val="28"/>
          <w:szCs w:val="28"/>
        </w:rPr>
        <w:t xml:space="preserve"> экскурси</w:t>
      </w:r>
      <w:r>
        <w:rPr>
          <w:rFonts w:ascii="Times New Roman" w:hAnsi="Times New Roman" w:cs="Times New Roman"/>
          <w:sz w:val="28"/>
          <w:szCs w:val="28"/>
        </w:rPr>
        <w:t xml:space="preserve">и получат возможность овладеть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на основе изучения социокультурного пространства Москвы.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Обучающиеся, проводившие экскурсии получат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приобретени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 опыта реализации содержательных основ историко-культурного, цивилизационного подхода к оценке социальных явлений, современных глобальных </w:t>
      </w:r>
      <w:r>
        <w:rPr>
          <w:rFonts w:ascii="Times New Roman" w:hAnsi="Times New Roman" w:cs="Times New Roman"/>
          <w:sz w:val="28"/>
          <w:szCs w:val="28"/>
        </w:rPr>
        <w:t xml:space="preserve">процессов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умение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Педагогические работники, реализующие проект получат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совершенствовани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педагогического мастерства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интеграци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метапредметных знаний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приобретение опыта наставничества. 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Перспективы дальнейшего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Times New Roman" w:hAnsi="Times New Roman" w:cs="Times New Roman"/>
          <w:sz w:val="28"/>
          <w:szCs w:val="28"/>
        </w:rPr>
        <w:t xml:space="preserve">перспектив дальнейшего развития мы рассматриваем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/>
    </w:p>
    <w:p>
      <w:pPr>
        <w:pStyle w:val="609"/>
        <w:numPr>
          <w:ilvl w:val="7"/>
          <w:numId w:val="2"/>
        </w:numPr>
        <w:ind w:left="1134" w:right="0" w:hanging="360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расширение направлений, разрабатываемых экскурсий и рабочих тетрадей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pStyle w:val="609"/>
        <w:numPr>
          <w:ilvl w:val="7"/>
          <w:numId w:val="2"/>
        </w:numPr>
        <w:ind w:left="1134" w:right="0" w:hanging="360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привлечение к проектной работе обучающихся других проектных предпрофессиональных в части продвижения продукта и применения информационных технологий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класс в московской школе», «Предпринимательский класс»);</w:t>
      </w:r>
      <w:r/>
    </w:p>
    <w:p>
      <w:pPr>
        <w:pStyle w:val="609"/>
        <w:numPr>
          <w:ilvl w:val="7"/>
          <w:numId w:val="2"/>
        </w:numPr>
        <w:ind w:left="1134" w:right="0" w:hanging="360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распространение методических материалов </w:t>
      </w:r>
      <w:r>
        <w:rPr>
          <w:rFonts w:ascii="Times New Roman" w:hAnsi="Times New Roman" w:cs="Times New Roman"/>
          <w:sz w:val="28"/>
          <w:szCs w:val="28"/>
        </w:rPr>
        <w:t xml:space="preserve">через печатные издания.</w:t>
      </w:r>
      <w:r/>
    </w:p>
    <w:p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Трансляция опыта.</w:t>
      </w:r>
      <w:r/>
    </w:p>
    <w:p>
      <w:pPr>
        <w:pStyle w:val="609"/>
        <w:numPr>
          <w:ilvl w:val="0"/>
          <w:numId w:val="3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на 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оркшоп</w:t>
      </w:r>
      <w:r>
        <w:rPr>
          <w:rFonts w:ascii="Times New Roman" w:hAnsi="Times New Roman" w:cs="Times New Roman"/>
          <w:sz w:val="28"/>
          <w:szCs w:val="28"/>
        </w:rPr>
        <w:t xml:space="preserve"> «Ребенок на пути к науке», организованный Московским городским педагогическим университетом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https://www.mgpu.ru/itogi-vorkshopa-rebenok-na-puti-k-nauke/" w:history="1">
        <w:r>
          <w:rPr>
            <w:rStyle w:val="610"/>
            <w:rFonts w:ascii="Times New Roman" w:hAnsi="Times New Roman" w:cs="Times New Roman"/>
            <w:sz w:val="28"/>
            <w:szCs w:val="28"/>
          </w:rPr>
          <w:t xml:space="preserve">https://www.mgpu.ru/itogi-vorkshopa-rebenok-na-puti-k-nauke/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pStyle w:val="609"/>
        <w:numPr>
          <w:ilvl w:val="0"/>
          <w:numId w:val="3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конкурсе педагогических команд  «Многогранник» ГАОУ ВО МГПУ в номинации </w:t>
      </w:r>
      <w:r>
        <w:rPr>
          <w:rFonts w:ascii="Times New Roman" w:hAnsi="Times New Roman" w:cs="Times New Roman"/>
          <w:sz w:val="28"/>
          <w:szCs w:val="28"/>
        </w:rPr>
        <w:t xml:space="preserve">«Лучший командный проект по применению педагогическими работниками социокультурной среды города» </w:t>
      </w:r>
      <w:hyperlink r:id="rId14" w:tooltip="https://insp.mgpu.ru/mnogogrannik" w:history="1">
        <w:r>
          <w:rPr>
            <w:rStyle w:val="610"/>
            <w:rFonts w:ascii="Times New Roman" w:hAnsi="Times New Roman" w:cs="Times New Roman"/>
            <w:sz w:val="28"/>
            <w:szCs w:val="28"/>
          </w:rPr>
          <w:t xml:space="preserve">https://insp.mgpu.ru/mnogogrannik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</w:t>
      </w:r>
      <w:r/>
    </w:p>
    <w:p>
      <w:pPr>
        <w:pStyle w:val="609"/>
        <w:ind w:left="360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/>
      <w:hyperlink r:id="rId15" w:tooltip="https://www.mgpu.ru/mnogogrannik-2021-podvodim-itogi/" w:history="1">
        <w:r>
          <w:rPr>
            <w:rStyle w:val="610"/>
            <w:rFonts w:ascii="Times New Roman" w:hAnsi="Times New Roman" w:cs="Times New Roman"/>
            <w:sz w:val="28"/>
            <w:szCs w:val="28"/>
          </w:rPr>
          <w:t xml:space="preserve">https://www.mgpu.ru/mnogogrannik-2021-podvodim-itogi/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nos">
    <w:panose1 w:val="02020603050405020304"/>
  </w:font>
  <w:font w:name="Symbol">
    <w:panose1 w:val="05050102000706020507"/>
  </w:font>
  <w:font w:name="Wingdings">
    <w:panose1 w:val="05030102010509060703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37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09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181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253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25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397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469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411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b w:val="0"/>
        <w:b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v"/>
      <w:lvlJc w:val="left"/>
      <w:pPr>
        <w:ind w:left="360" w:hanging="360"/>
      </w:pPr>
      <w:rPr>
        <w:rFonts w:ascii="Wingdings" w:hAnsi="Wingdings" w:cs="Wingdings" w:eastAsia="Wingdings" w:hint="default"/>
      </w:rPr>
    </w:lvl>
    <w:lvl w:ilvl="1">
      <w:start w:val="1"/>
      <w:numFmt w:val="bullet"/>
      <w:isLgl w:val="false"/>
      <w:suff w:val="tab"/>
      <w:lvlText w:val="Ø"/>
      <w:lvlJc w:val="left"/>
      <w:pPr>
        <w:ind w:left="720" w:hanging="360"/>
      </w:pPr>
      <w:rPr>
        <w:rFonts w:ascii="Wingdings" w:hAnsi="Wingdings" w:cs="Wingdings" w:eastAsia="Wingdings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108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144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¨"/>
      <w:lvlJc w:val="left"/>
      <w:pPr>
        <w:ind w:left="1800" w:hanging="360"/>
      </w:pPr>
      <w:rPr>
        <w:rFonts w:ascii="Symbol" w:hAnsi="Symbol" w:cs="Symbol" w:eastAsia="Symbol" w:hint="default"/>
      </w:rPr>
    </w:lvl>
    <w:lvl w:ilvl="5">
      <w:start w:val="1"/>
      <w:numFmt w:val="bullet"/>
      <w:isLgl w:val="false"/>
      <w:suff w:val="tab"/>
      <w:lvlText w:val="Ø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§"/>
      <w:lvlJc w:val="left"/>
      <w:pPr>
        <w:ind w:left="2520" w:hanging="360"/>
      </w:pPr>
      <w:rPr>
        <w:rFonts w:ascii="Wingdings" w:hAnsi="Wingdings" w:cs="Wingdings" w:eastAsia="Wingdings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8">
      <w:start w:val="1"/>
      <w:numFmt w:val="bullet"/>
      <w:isLgl w:val="false"/>
      <w:suff w:val="tab"/>
      <w:lvlText w:val="¨"/>
      <w:lvlJc w:val="left"/>
      <w:pPr>
        <w:ind w:left="3240" w:hanging="360"/>
      </w:pPr>
      <w:rPr>
        <w:rFonts w:ascii="Symbol" w:hAnsi="Symbol" w:cs="Symbol" w:eastAsia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04"/>
    <w:next w:val="604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605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04"/>
    <w:next w:val="604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605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04"/>
    <w:next w:val="604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605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04"/>
    <w:next w:val="604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605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04"/>
    <w:next w:val="604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605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04"/>
    <w:next w:val="604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605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04"/>
    <w:next w:val="604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605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04"/>
    <w:next w:val="604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605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04"/>
    <w:next w:val="604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605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604"/>
    <w:next w:val="604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605"/>
    <w:link w:val="32"/>
    <w:uiPriority w:val="10"/>
    <w:rPr>
      <w:sz w:val="48"/>
      <w:szCs w:val="48"/>
    </w:rPr>
  </w:style>
  <w:style w:type="paragraph" w:styleId="34">
    <w:name w:val="Subtitle"/>
    <w:basedOn w:val="604"/>
    <w:next w:val="604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605"/>
    <w:link w:val="34"/>
    <w:uiPriority w:val="11"/>
    <w:rPr>
      <w:sz w:val="24"/>
      <w:szCs w:val="24"/>
    </w:rPr>
  </w:style>
  <w:style w:type="paragraph" w:styleId="36">
    <w:name w:val="Quote"/>
    <w:basedOn w:val="604"/>
    <w:next w:val="604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04"/>
    <w:next w:val="604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04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605"/>
    <w:link w:val="40"/>
    <w:uiPriority w:val="99"/>
  </w:style>
  <w:style w:type="paragraph" w:styleId="42">
    <w:name w:val="Footer"/>
    <w:basedOn w:val="604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605"/>
    <w:link w:val="42"/>
    <w:uiPriority w:val="99"/>
  </w:style>
  <w:style w:type="paragraph" w:styleId="44">
    <w:name w:val="Caption"/>
    <w:basedOn w:val="604"/>
    <w:next w:val="60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0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0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0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0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60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60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60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60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60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60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60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6">
    <w:name w:val="List Table 7 Colorful - Accent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0">
    <w:name w:val="List Table 7 Colorful - Accent 6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60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60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3">
    <w:name w:val="Lined - Accent 2"/>
    <w:basedOn w:val="60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4">
    <w:name w:val="Lined - Accent 3"/>
    <w:basedOn w:val="60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5">
    <w:name w:val="Lined - Accent 4"/>
    <w:basedOn w:val="60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6">
    <w:name w:val="Lined - Accent 5"/>
    <w:basedOn w:val="60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7">
    <w:name w:val="Lined - Accent 6"/>
    <w:basedOn w:val="60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8">
    <w:name w:val="Bordered &amp; Lined - Accent"/>
    <w:basedOn w:val="60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60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0">
    <w:name w:val="Bordered &amp; Lined - Accent 2"/>
    <w:basedOn w:val="60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1">
    <w:name w:val="Bordered &amp; Lined - Accent 3"/>
    <w:basedOn w:val="60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2">
    <w:name w:val="Bordered &amp; Lined - Accent 4"/>
    <w:basedOn w:val="60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3">
    <w:name w:val="Bordered &amp; Lined - Accent 5"/>
    <w:basedOn w:val="60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4">
    <w:name w:val="Bordered &amp; Lined - Accent 6"/>
    <w:basedOn w:val="60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5">
    <w:name w:val="Bordered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60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3">
    <w:name w:val="footnote text"/>
    <w:basedOn w:val="604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05"/>
    <w:uiPriority w:val="99"/>
    <w:unhideWhenUsed/>
    <w:rPr>
      <w:vertAlign w:val="superscript"/>
    </w:rPr>
  </w:style>
  <w:style w:type="paragraph" w:styleId="176">
    <w:name w:val="endnote text"/>
    <w:basedOn w:val="604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05"/>
    <w:uiPriority w:val="99"/>
    <w:semiHidden/>
    <w:unhideWhenUsed/>
    <w:rPr>
      <w:vertAlign w:val="superscript"/>
    </w:rPr>
  </w:style>
  <w:style w:type="paragraph" w:styleId="179">
    <w:name w:val="toc 1"/>
    <w:basedOn w:val="604"/>
    <w:next w:val="604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04"/>
    <w:next w:val="604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04"/>
    <w:next w:val="604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04"/>
    <w:next w:val="604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04"/>
    <w:next w:val="604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04"/>
    <w:next w:val="604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04"/>
    <w:next w:val="604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04"/>
    <w:next w:val="604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04"/>
    <w:next w:val="604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04"/>
    <w:next w:val="604"/>
    <w:uiPriority w:val="99"/>
    <w:unhideWhenUsed/>
    <w:pPr>
      <w:spacing w:after="0" w:afterAutospacing="0"/>
    </w:pPr>
  </w:style>
  <w:style w:type="paragraph" w:styleId="604" w:default="1">
    <w:name w:val="Normal"/>
    <w:qFormat/>
  </w:style>
  <w:style w:type="character" w:styleId="605" w:default="1">
    <w:name w:val="Default Paragraph Font"/>
    <w:uiPriority w:val="1"/>
    <w:semiHidden/>
    <w:unhideWhenUsed/>
  </w:style>
  <w:style w:type="table" w:styleId="60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7" w:default="1">
    <w:name w:val="No List"/>
    <w:uiPriority w:val="99"/>
    <w:semiHidden/>
    <w:unhideWhenUsed/>
  </w:style>
  <w:style w:type="paragraph" w:styleId="608">
    <w:name w:val="Normal (Web)"/>
    <w:basedOn w:val="604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 w:eastAsia="Times New Roman"/>
      <w:sz w:val="24"/>
      <w:szCs w:val="24"/>
      <w:lang w:eastAsia="ru-RU"/>
    </w:rPr>
  </w:style>
  <w:style w:type="paragraph" w:styleId="609">
    <w:name w:val="List Paragraph"/>
    <w:basedOn w:val="604"/>
    <w:uiPriority w:val="34"/>
    <w:qFormat/>
    <w:pPr>
      <w:contextualSpacing/>
      <w:ind w:left="720"/>
    </w:pPr>
  </w:style>
  <w:style w:type="character" w:styleId="610">
    <w:name w:val="Hyperlink"/>
    <w:basedOn w:val="605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s://www.mgpu.ru/itogi-vorkshopa-rebenok-na-puti-k-nauke/" TargetMode="External"/><Relationship Id="rId14" Type="http://schemas.openxmlformats.org/officeDocument/2006/relationships/hyperlink" Target="https://insp.mgpu.ru/mnogogrannik" TargetMode="External"/><Relationship Id="rId15" Type="http://schemas.openxmlformats.org/officeDocument/2006/relationships/hyperlink" Target="https://www.mgpu.ru/mnogogrannik-2021-podvodim-itogi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
</file>

<file path=customXml/itemProps1.xml><?xml version="1.0" encoding="utf-8"?>
<ds:datastoreItem xmlns:ds="http://schemas.openxmlformats.org/officeDocument/2006/customXml" ds:itemID="{E21EE8D4-E97A-4301-BE2E-A5211DA65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Р7-Офис/7.0.2.0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Ксения Алексеевна</dc:creator>
  <cp:keywords/>
  <dc:description/>
  <cp:revision>10</cp:revision>
  <dcterms:created xsi:type="dcterms:W3CDTF">2022-01-11T19:43:00Z</dcterms:created>
  <dcterms:modified xsi:type="dcterms:W3CDTF">2023-01-15T20:54:04Z</dcterms:modified>
</cp:coreProperties>
</file>